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2C18" w14:textId="582B2EB8" w:rsidR="00A863FB" w:rsidRPr="00056548" w:rsidRDefault="00767ADB" w:rsidP="00A863F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MEDICAL </w:t>
      </w:r>
      <w:r w:rsidR="000C3C21">
        <w:rPr>
          <w:b/>
          <w:sz w:val="28"/>
          <w:szCs w:val="28"/>
          <w:u w:val="single"/>
        </w:rPr>
        <w:t xml:space="preserve">CLEARANCE LETTER </w:t>
      </w:r>
      <w:r w:rsidR="000C3C21" w:rsidRPr="00723D20">
        <w:rPr>
          <w:b/>
          <w:sz w:val="28"/>
          <w:szCs w:val="28"/>
          <w:u w:val="single"/>
          <w:bdr w:val="single" w:sz="4" w:space="0" w:color="auto"/>
        </w:rPr>
        <w:t>SAMPLE</w:t>
      </w:r>
      <w:r w:rsidR="000C3C21">
        <w:rPr>
          <w:b/>
          <w:sz w:val="28"/>
          <w:szCs w:val="28"/>
          <w:u w:val="single"/>
        </w:rPr>
        <w:t xml:space="preserve"> – </w:t>
      </w:r>
      <w:r w:rsidR="00A863FB">
        <w:rPr>
          <w:b/>
          <w:sz w:val="28"/>
          <w:szCs w:val="28"/>
          <w:u w:val="single"/>
        </w:rPr>
        <w:t>PLEASE SEND ON OFFICIAL LETTERHEAD</w:t>
      </w:r>
    </w:p>
    <w:p w14:paraId="70860300" w14:textId="200A056D" w:rsidR="00056548" w:rsidRDefault="00A863FB" w:rsidP="00A863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CNE Breast Health Center</w:t>
      </w:r>
      <w:r w:rsidR="000C3C21">
        <w:rPr>
          <w:b/>
          <w:sz w:val="28"/>
          <w:szCs w:val="28"/>
          <w:u w:val="single"/>
        </w:rPr>
        <w:t xml:space="preserve"> </w:t>
      </w:r>
      <w:r w:rsidR="003E07C4">
        <w:rPr>
          <w:b/>
          <w:sz w:val="28"/>
          <w:szCs w:val="28"/>
          <w:u w:val="single"/>
        </w:rPr>
        <w:t>Gender</w:t>
      </w:r>
      <w:r w:rsidR="003F021F">
        <w:rPr>
          <w:b/>
          <w:sz w:val="28"/>
          <w:szCs w:val="28"/>
          <w:u w:val="single"/>
        </w:rPr>
        <w:t>-</w:t>
      </w:r>
      <w:r w:rsidR="003E07C4">
        <w:rPr>
          <w:b/>
          <w:sz w:val="28"/>
          <w:szCs w:val="28"/>
          <w:u w:val="single"/>
        </w:rPr>
        <w:t>Affirming</w:t>
      </w:r>
      <w:r>
        <w:rPr>
          <w:b/>
          <w:sz w:val="28"/>
          <w:szCs w:val="28"/>
          <w:u w:val="single"/>
        </w:rPr>
        <w:t xml:space="preserve"> Care</w:t>
      </w:r>
    </w:p>
    <w:p w14:paraId="6B8712E4" w14:textId="67FAB28A" w:rsidR="00A863FB" w:rsidRDefault="00EE760D">
      <w:pPr>
        <w:contextualSpacing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7E515245" w14:textId="5CDA563E" w:rsidR="00A863FB" w:rsidRDefault="00A863FB">
      <w:pPr>
        <w:contextualSpacing/>
        <w:rPr>
          <w:sz w:val="20"/>
          <w:szCs w:val="20"/>
        </w:rPr>
      </w:pPr>
      <w:r>
        <w:rPr>
          <w:sz w:val="20"/>
          <w:szCs w:val="20"/>
        </w:rPr>
        <w:t>C</w:t>
      </w:r>
      <w:r w:rsidR="000C3C21">
        <w:rPr>
          <w:sz w:val="20"/>
          <w:szCs w:val="20"/>
        </w:rPr>
        <w:t>hosen name:</w:t>
      </w:r>
      <w:r w:rsidR="000C3C21">
        <w:rPr>
          <w:sz w:val="20"/>
          <w:szCs w:val="20"/>
        </w:rPr>
        <w:br/>
        <w:t>Pronoun:</w:t>
      </w:r>
      <w:r w:rsidR="000C3C21">
        <w:rPr>
          <w:sz w:val="20"/>
          <w:szCs w:val="20"/>
        </w:rPr>
        <w:br/>
        <w:t>Legal name (if different):</w:t>
      </w:r>
      <w:r w:rsidR="000C3C21">
        <w:rPr>
          <w:sz w:val="20"/>
          <w:szCs w:val="20"/>
        </w:rPr>
        <w:br/>
      </w:r>
      <w:r w:rsidR="00017C43" w:rsidRPr="00023ABB">
        <w:rPr>
          <w:sz w:val="20"/>
          <w:szCs w:val="20"/>
        </w:rPr>
        <w:t>DOB:</w:t>
      </w:r>
      <w:r w:rsidR="000C3C21">
        <w:rPr>
          <w:sz w:val="20"/>
          <w:szCs w:val="20"/>
        </w:rPr>
        <w:br/>
        <w:t>Date established care with referring provider:</w:t>
      </w:r>
      <w:r w:rsidR="000C3C21">
        <w:rPr>
          <w:sz w:val="20"/>
          <w:szCs w:val="20"/>
        </w:rPr>
        <w:br/>
        <w:t>Procedure sought (</w:t>
      </w:r>
      <w:r w:rsidR="00713D68">
        <w:rPr>
          <w:sz w:val="20"/>
          <w:szCs w:val="20"/>
        </w:rPr>
        <w:t xml:space="preserve">Specify desired surgery): </w:t>
      </w:r>
      <w:r w:rsidR="00713D68" w:rsidRPr="00713D68">
        <w:rPr>
          <w:sz w:val="20"/>
          <w:szCs w:val="20"/>
          <w:highlight w:val="yellow"/>
        </w:rPr>
        <w:t xml:space="preserve">Mastectomy </w:t>
      </w:r>
      <w:r w:rsidR="00176352">
        <w:rPr>
          <w:sz w:val="20"/>
          <w:szCs w:val="20"/>
          <w:highlight w:val="yellow"/>
        </w:rPr>
        <w:t>w/without</w:t>
      </w:r>
      <w:r w:rsidR="00713D68" w:rsidRPr="00713D68">
        <w:rPr>
          <w:sz w:val="20"/>
          <w:szCs w:val="20"/>
          <w:highlight w:val="yellow"/>
        </w:rPr>
        <w:t xml:space="preserve"> creation of male chest/ Breast augmentation</w:t>
      </w:r>
      <w:r w:rsidR="000C3C21">
        <w:rPr>
          <w:sz w:val="20"/>
          <w:szCs w:val="20"/>
        </w:rPr>
        <w:br/>
        <w:t>Date or age at which patient first knew gender ID differed from birth</w:t>
      </w:r>
      <w:r>
        <w:rPr>
          <w:sz w:val="20"/>
          <w:szCs w:val="20"/>
        </w:rPr>
        <w:t>-</w:t>
      </w:r>
      <w:r w:rsidR="000C3C21">
        <w:rPr>
          <w:sz w:val="20"/>
          <w:szCs w:val="20"/>
        </w:rPr>
        <w:t>assigned sex:</w:t>
      </w:r>
      <w:r w:rsidR="000C3C21">
        <w:rPr>
          <w:sz w:val="20"/>
          <w:szCs w:val="20"/>
        </w:rPr>
        <w:br/>
        <w:t>Date began living full time in identified gender (if applicable):</w:t>
      </w:r>
      <w:r w:rsidR="000C3C21">
        <w:rPr>
          <w:sz w:val="20"/>
          <w:szCs w:val="20"/>
        </w:rPr>
        <w:br/>
        <w:t>Taking hormones (Y/N):</w:t>
      </w:r>
      <w:r w:rsidR="000C3C21">
        <w:rPr>
          <w:sz w:val="20"/>
          <w:szCs w:val="20"/>
        </w:rPr>
        <w:br/>
        <w:t>Date hormones started:</w:t>
      </w:r>
      <w:r w:rsidR="00B81B1E">
        <w:rPr>
          <w:sz w:val="20"/>
          <w:szCs w:val="20"/>
        </w:rPr>
        <w:br/>
        <w:t>City, state of primary residence:</w:t>
      </w:r>
      <w:r w:rsidR="00B81B1E">
        <w:rPr>
          <w:sz w:val="20"/>
          <w:szCs w:val="20"/>
        </w:rPr>
        <w:br/>
        <w:t>Stable, permanent housing (Y/N):</w:t>
      </w:r>
      <w:r w:rsidR="00B81B1E">
        <w:rPr>
          <w:sz w:val="20"/>
          <w:szCs w:val="20"/>
        </w:rPr>
        <w:br/>
        <w:t>Postoperative recovery plan (</w:t>
      </w:r>
      <w:r w:rsidR="00B81B1E" w:rsidRPr="00A863FB">
        <w:rPr>
          <w:sz w:val="18"/>
          <w:szCs w:val="18"/>
        </w:rPr>
        <w:t>who will</w:t>
      </w:r>
      <w:r w:rsidR="00CA2204">
        <w:rPr>
          <w:sz w:val="18"/>
          <w:szCs w:val="18"/>
        </w:rPr>
        <w:t xml:space="preserve"> help</w:t>
      </w:r>
      <w:r w:rsidR="00B81B1E" w:rsidRPr="00A863FB">
        <w:rPr>
          <w:sz w:val="18"/>
          <w:szCs w:val="18"/>
        </w:rPr>
        <w:t xml:space="preserve"> care for patient before and after surgery, take patient to and from surgery</w:t>
      </w:r>
      <w:r>
        <w:rPr>
          <w:sz w:val="20"/>
          <w:szCs w:val="20"/>
        </w:rPr>
        <w:t>):</w:t>
      </w:r>
    </w:p>
    <w:p w14:paraId="7EA52E26" w14:textId="4B69CDA5" w:rsidR="00B81B1E" w:rsidRPr="00A863FB" w:rsidRDefault="00B81B1E" w:rsidP="00A863FB">
      <w:pPr>
        <w:contextualSpacing/>
        <w:jc w:val="center"/>
        <w:rPr>
          <w:sz w:val="18"/>
          <w:szCs w:val="18"/>
        </w:rPr>
      </w:pPr>
      <w:r w:rsidRPr="00A863FB">
        <w:rPr>
          <w:sz w:val="18"/>
          <w:szCs w:val="18"/>
          <w:u w:val="single"/>
        </w:rPr>
        <w:t>Lack of housing</w:t>
      </w:r>
      <w:r w:rsidR="00A863FB" w:rsidRPr="00A863FB">
        <w:rPr>
          <w:sz w:val="18"/>
          <w:szCs w:val="18"/>
          <w:u w:val="single"/>
        </w:rPr>
        <w:t>/</w:t>
      </w:r>
      <w:r w:rsidRPr="00A863FB">
        <w:rPr>
          <w:sz w:val="18"/>
          <w:szCs w:val="18"/>
          <w:u w:val="single"/>
        </w:rPr>
        <w:t>support does not necessarily prevent surgery</w:t>
      </w:r>
      <w:r w:rsidR="00A863FB" w:rsidRPr="00A863FB">
        <w:rPr>
          <w:sz w:val="18"/>
          <w:szCs w:val="18"/>
          <w:u w:val="single"/>
        </w:rPr>
        <w:t>, but if it</w:t>
      </w:r>
      <w:r w:rsidRPr="00A863FB">
        <w:rPr>
          <w:sz w:val="18"/>
          <w:szCs w:val="18"/>
          <w:u w:val="single"/>
        </w:rPr>
        <w:t xml:space="preserve"> is lacking, our team can work with the referring provider to identify additional </w:t>
      </w:r>
      <w:r w:rsidR="00A863FB" w:rsidRPr="00A863FB">
        <w:rPr>
          <w:sz w:val="18"/>
          <w:szCs w:val="18"/>
          <w:u w:val="single"/>
        </w:rPr>
        <w:t>resources</w:t>
      </w:r>
      <w:r w:rsidRPr="00A863FB">
        <w:rPr>
          <w:sz w:val="18"/>
          <w:szCs w:val="18"/>
          <w:u w:val="single"/>
        </w:rPr>
        <w:t xml:space="preserve"> for successful surgery</w:t>
      </w:r>
      <w:r w:rsidRPr="00A863FB">
        <w:rPr>
          <w:sz w:val="18"/>
          <w:szCs w:val="18"/>
        </w:rPr>
        <w:t>)</w:t>
      </w:r>
    </w:p>
    <w:p w14:paraId="1B72D6EC" w14:textId="3FE15559" w:rsidR="00A863FB" w:rsidRDefault="00A863FB">
      <w:pPr>
        <w:contextualSpacing/>
        <w:rPr>
          <w:sz w:val="20"/>
          <w:szCs w:val="20"/>
        </w:rPr>
      </w:pPr>
    </w:p>
    <w:p w14:paraId="42942028" w14:textId="77777777" w:rsidR="00A863FB" w:rsidRDefault="00A863FB">
      <w:pPr>
        <w:contextualSpacing/>
        <w:rPr>
          <w:sz w:val="20"/>
          <w:szCs w:val="20"/>
        </w:rPr>
      </w:pPr>
    </w:p>
    <w:p w14:paraId="6AABD4C0" w14:textId="77777777" w:rsidR="00017C43" w:rsidRPr="00023ABB" w:rsidRDefault="00017C43">
      <w:pPr>
        <w:rPr>
          <w:sz w:val="20"/>
          <w:szCs w:val="20"/>
        </w:rPr>
      </w:pPr>
      <w:r w:rsidRPr="00023ABB">
        <w:rPr>
          <w:sz w:val="20"/>
          <w:szCs w:val="20"/>
        </w:rPr>
        <w:t>To Who</w:t>
      </w:r>
      <w:r w:rsidR="00023ABB" w:rsidRPr="00023ABB">
        <w:rPr>
          <w:sz w:val="20"/>
          <w:szCs w:val="20"/>
        </w:rPr>
        <w:t>m</w:t>
      </w:r>
      <w:r w:rsidRPr="00023ABB">
        <w:rPr>
          <w:sz w:val="20"/>
          <w:szCs w:val="20"/>
        </w:rPr>
        <w:t xml:space="preserve"> It May Concern:</w:t>
      </w:r>
    </w:p>
    <w:p w14:paraId="5D0DC694" w14:textId="44FC5EF2" w:rsidR="00017C43" w:rsidRPr="00023ABB" w:rsidRDefault="00017C43">
      <w:pPr>
        <w:rPr>
          <w:sz w:val="20"/>
          <w:szCs w:val="20"/>
        </w:rPr>
      </w:pPr>
      <w:r w:rsidRPr="00EE760D">
        <w:rPr>
          <w:sz w:val="20"/>
          <w:szCs w:val="20"/>
          <w:highlight w:val="yellow"/>
        </w:rPr>
        <w:t>Patient name</w:t>
      </w:r>
      <w:r w:rsidR="00B81B1E">
        <w:rPr>
          <w:sz w:val="20"/>
          <w:szCs w:val="20"/>
        </w:rPr>
        <w:t xml:space="preserve"> is a patient under</w:t>
      </w:r>
      <w:r w:rsidRPr="00023ABB">
        <w:rPr>
          <w:sz w:val="20"/>
          <w:szCs w:val="20"/>
        </w:rPr>
        <w:t xml:space="preserve"> my care</w:t>
      </w:r>
      <w:r w:rsidR="002079A1">
        <w:rPr>
          <w:sz w:val="20"/>
          <w:szCs w:val="20"/>
        </w:rPr>
        <w:t xml:space="preserve">. </w:t>
      </w:r>
      <w:r w:rsidR="000C3C21">
        <w:rPr>
          <w:sz w:val="20"/>
          <w:szCs w:val="20"/>
          <w:highlight w:val="yellow"/>
        </w:rPr>
        <w:t xml:space="preserve"> </w:t>
      </w:r>
      <w:r w:rsidR="00EE760D">
        <w:rPr>
          <w:sz w:val="20"/>
          <w:szCs w:val="20"/>
          <w:highlight w:val="yellow"/>
        </w:rPr>
        <w:t>p</w:t>
      </w:r>
      <w:r w:rsidRPr="00EE760D">
        <w:rPr>
          <w:sz w:val="20"/>
          <w:szCs w:val="20"/>
          <w:highlight w:val="yellow"/>
        </w:rPr>
        <w:t>a</w:t>
      </w:r>
      <w:bookmarkStart w:id="0" w:name="_GoBack"/>
      <w:bookmarkEnd w:id="0"/>
      <w:r w:rsidRPr="00EE760D">
        <w:rPr>
          <w:sz w:val="20"/>
          <w:szCs w:val="20"/>
          <w:highlight w:val="yellow"/>
        </w:rPr>
        <w:t>tient name</w:t>
      </w:r>
      <w:r w:rsidR="003E56F5">
        <w:rPr>
          <w:sz w:val="20"/>
          <w:szCs w:val="20"/>
        </w:rPr>
        <w:t xml:space="preserve"> </w:t>
      </w:r>
      <w:r w:rsidR="00DF0023" w:rsidRPr="007C67AE">
        <w:rPr>
          <w:sz w:val="20"/>
          <w:szCs w:val="20"/>
        </w:rPr>
        <w:t>has</w:t>
      </w:r>
      <w:r w:rsidR="007C67AE">
        <w:rPr>
          <w:sz w:val="20"/>
          <w:szCs w:val="20"/>
        </w:rPr>
        <w:t xml:space="preserve"> a</w:t>
      </w:r>
      <w:r w:rsidR="00B81B1E">
        <w:rPr>
          <w:sz w:val="20"/>
          <w:szCs w:val="20"/>
        </w:rPr>
        <w:t xml:space="preserve"> gender identity of</w:t>
      </w:r>
      <w:r w:rsidR="007C67AE">
        <w:rPr>
          <w:sz w:val="20"/>
          <w:szCs w:val="20"/>
        </w:rPr>
        <w:t xml:space="preserve"> </w:t>
      </w:r>
      <w:r w:rsidR="00DF0023" w:rsidRPr="007C67AE">
        <w:rPr>
          <w:sz w:val="20"/>
          <w:szCs w:val="20"/>
          <w:highlight w:val="yellow"/>
        </w:rPr>
        <w:t xml:space="preserve"> </w:t>
      </w:r>
      <w:r w:rsidR="00EE760D">
        <w:rPr>
          <w:sz w:val="20"/>
          <w:szCs w:val="20"/>
          <w:highlight w:val="yellow"/>
        </w:rPr>
        <w:t>(</w:t>
      </w:r>
      <w:r w:rsidR="007C67AE" w:rsidRPr="007C67AE">
        <w:rPr>
          <w:sz w:val="20"/>
          <w:szCs w:val="20"/>
          <w:highlight w:val="yellow"/>
        </w:rPr>
        <w:t>gender identity</w:t>
      </w:r>
      <w:r w:rsidR="00EE760D">
        <w:rPr>
          <w:sz w:val="20"/>
          <w:szCs w:val="20"/>
        </w:rPr>
        <w:t>)</w:t>
      </w:r>
      <w:r w:rsidR="007C67AE">
        <w:rPr>
          <w:sz w:val="20"/>
          <w:szCs w:val="20"/>
        </w:rPr>
        <w:t xml:space="preserve"> </w:t>
      </w:r>
      <w:r w:rsidR="00DF0023">
        <w:rPr>
          <w:sz w:val="20"/>
          <w:szCs w:val="20"/>
        </w:rPr>
        <w:t xml:space="preserve">which is well </w:t>
      </w:r>
      <w:r w:rsidR="00BD3533">
        <w:rPr>
          <w:sz w:val="20"/>
          <w:szCs w:val="20"/>
        </w:rPr>
        <w:t>establi</w:t>
      </w:r>
      <w:r w:rsidR="007C67AE">
        <w:rPr>
          <w:sz w:val="20"/>
          <w:szCs w:val="20"/>
        </w:rPr>
        <w:t>she</w:t>
      </w:r>
      <w:r w:rsidR="00BD3533">
        <w:rPr>
          <w:sz w:val="20"/>
          <w:szCs w:val="20"/>
        </w:rPr>
        <w:t>d</w:t>
      </w:r>
      <w:r w:rsidR="00DF0023">
        <w:rPr>
          <w:sz w:val="20"/>
          <w:szCs w:val="20"/>
        </w:rPr>
        <w:t xml:space="preserve"> and stable</w:t>
      </w:r>
      <w:r w:rsidRPr="00023ABB">
        <w:rPr>
          <w:sz w:val="20"/>
          <w:szCs w:val="20"/>
        </w:rPr>
        <w:t xml:space="preserve">. </w:t>
      </w:r>
      <w:r w:rsidR="00B81B1E">
        <w:rPr>
          <w:sz w:val="20"/>
          <w:szCs w:val="20"/>
        </w:rPr>
        <w:t xml:space="preserve"> </w:t>
      </w:r>
      <w:r w:rsidRPr="00023ABB">
        <w:rPr>
          <w:sz w:val="20"/>
          <w:szCs w:val="20"/>
        </w:rPr>
        <w:t xml:space="preserve">By my independent evaluation, I </w:t>
      </w:r>
      <w:r w:rsidR="00697D52">
        <w:rPr>
          <w:sz w:val="20"/>
          <w:szCs w:val="20"/>
        </w:rPr>
        <w:t xml:space="preserve">have </w:t>
      </w:r>
      <w:r w:rsidRPr="00023ABB">
        <w:rPr>
          <w:sz w:val="20"/>
          <w:szCs w:val="20"/>
        </w:rPr>
        <w:t xml:space="preserve">diagnosed </w:t>
      </w:r>
      <w:r w:rsidR="00920B02">
        <w:rPr>
          <w:sz w:val="20"/>
          <w:szCs w:val="20"/>
          <w:highlight w:val="yellow"/>
        </w:rPr>
        <w:t>her/him/them</w:t>
      </w:r>
      <w:r w:rsidRPr="007C67AE">
        <w:rPr>
          <w:sz w:val="20"/>
          <w:szCs w:val="20"/>
          <w:highlight w:val="yellow"/>
        </w:rPr>
        <w:t xml:space="preserve"> </w:t>
      </w:r>
      <w:r w:rsidRPr="00023ABB">
        <w:rPr>
          <w:sz w:val="20"/>
          <w:szCs w:val="20"/>
        </w:rPr>
        <w:t>with Gender Dysphoria (ICD-</w:t>
      </w:r>
      <w:r w:rsidR="00DF0023">
        <w:rPr>
          <w:sz w:val="20"/>
          <w:szCs w:val="20"/>
        </w:rPr>
        <w:t>10 F64.1/F64.9</w:t>
      </w:r>
      <w:r w:rsidRPr="00023ABB">
        <w:rPr>
          <w:sz w:val="20"/>
          <w:szCs w:val="20"/>
        </w:rPr>
        <w:t>)</w:t>
      </w:r>
      <w:r w:rsidR="00DF0023">
        <w:rPr>
          <w:sz w:val="20"/>
          <w:szCs w:val="20"/>
        </w:rPr>
        <w:t>.</w:t>
      </w:r>
      <w:r w:rsidRPr="00023ABB">
        <w:rPr>
          <w:sz w:val="20"/>
          <w:szCs w:val="20"/>
        </w:rPr>
        <w:t xml:space="preserve"> </w:t>
      </w:r>
      <w:r w:rsidR="00920B02">
        <w:rPr>
          <w:sz w:val="20"/>
          <w:szCs w:val="20"/>
          <w:highlight w:val="yellow"/>
        </w:rPr>
        <w:t>She/he/they</w:t>
      </w:r>
      <w:r w:rsidR="006B4C25">
        <w:rPr>
          <w:sz w:val="20"/>
          <w:szCs w:val="20"/>
        </w:rPr>
        <w:t xml:space="preserve"> reports symptoms of</w:t>
      </w:r>
      <w:r w:rsidRPr="00023ABB">
        <w:rPr>
          <w:sz w:val="20"/>
          <w:szCs w:val="20"/>
        </w:rPr>
        <w:t xml:space="preserve"> anxiety</w:t>
      </w:r>
      <w:r w:rsidR="007C67AE">
        <w:rPr>
          <w:sz w:val="20"/>
          <w:szCs w:val="20"/>
        </w:rPr>
        <w:t xml:space="preserve"> and depression</w:t>
      </w:r>
      <w:r w:rsidRPr="00023ABB">
        <w:rPr>
          <w:sz w:val="20"/>
          <w:szCs w:val="20"/>
        </w:rPr>
        <w:t xml:space="preserve">, which </w:t>
      </w:r>
      <w:r w:rsidR="00920B02">
        <w:rPr>
          <w:sz w:val="20"/>
          <w:szCs w:val="20"/>
          <w:highlight w:val="yellow"/>
        </w:rPr>
        <w:t>she/he/they</w:t>
      </w:r>
      <w:r w:rsidRPr="00023ABB">
        <w:rPr>
          <w:sz w:val="20"/>
          <w:szCs w:val="20"/>
        </w:rPr>
        <w:t xml:space="preserve"> feels are exacerbated by </w:t>
      </w:r>
      <w:r w:rsidR="007C67AE">
        <w:rPr>
          <w:sz w:val="20"/>
          <w:szCs w:val="20"/>
        </w:rPr>
        <w:t>t</w:t>
      </w:r>
      <w:r w:rsidRPr="00023ABB">
        <w:rPr>
          <w:sz w:val="20"/>
          <w:szCs w:val="20"/>
        </w:rPr>
        <w:t xml:space="preserve">his Dysphoria. </w:t>
      </w:r>
      <w:r w:rsidR="00920B02">
        <w:rPr>
          <w:sz w:val="20"/>
          <w:szCs w:val="20"/>
          <w:highlight w:val="yellow"/>
        </w:rPr>
        <w:t>She/he/they</w:t>
      </w:r>
      <w:r w:rsidRPr="00023ABB">
        <w:rPr>
          <w:sz w:val="20"/>
          <w:szCs w:val="20"/>
        </w:rPr>
        <w:t xml:space="preserve"> relates much of </w:t>
      </w:r>
      <w:r w:rsidR="00920B02">
        <w:rPr>
          <w:sz w:val="20"/>
          <w:szCs w:val="20"/>
          <w:highlight w:val="yellow"/>
        </w:rPr>
        <w:t>her/his/their</w:t>
      </w:r>
      <w:r w:rsidR="00BD3533" w:rsidRPr="007C67AE">
        <w:rPr>
          <w:sz w:val="20"/>
          <w:szCs w:val="20"/>
          <w:highlight w:val="yellow"/>
        </w:rPr>
        <w:t xml:space="preserve"> </w:t>
      </w:r>
      <w:r w:rsidR="00BD3533">
        <w:rPr>
          <w:sz w:val="20"/>
          <w:szCs w:val="20"/>
        </w:rPr>
        <w:t xml:space="preserve">Gender Dysphoria to </w:t>
      </w:r>
      <w:r w:rsidR="00920B02">
        <w:rPr>
          <w:sz w:val="20"/>
          <w:szCs w:val="20"/>
          <w:highlight w:val="yellow"/>
        </w:rPr>
        <w:t>her/his/their</w:t>
      </w:r>
      <w:r w:rsidRPr="007C67AE">
        <w:rPr>
          <w:sz w:val="20"/>
          <w:szCs w:val="20"/>
          <w:highlight w:val="yellow"/>
        </w:rPr>
        <w:t xml:space="preserve"> </w:t>
      </w:r>
      <w:r w:rsidR="007C67AE">
        <w:rPr>
          <w:sz w:val="20"/>
          <w:szCs w:val="20"/>
        </w:rPr>
        <w:t>(</w:t>
      </w:r>
      <w:r w:rsidR="007C67AE" w:rsidRPr="007C67AE">
        <w:rPr>
          <w:sz w:val="20"/>
          <w:szCs w:val="20"/>
          <w:highlight w:val="yellow"/>
        </w:rPr>
        <w:t>specific physical characteristic – separate letter needed for each procedure</w:t>
      </w:r>
      <w:r w:rsidR="007C67AE">
        <w:rPr>
          <w:sz w:val="20"/>
          <w:szCs w:val="20"/>
        </w:rPr>
        <w:t>)</w:t>
      </w:r>
      <w:r w:rsidRPr="00023ABB">
        <w:rPr>
          <w:sz w:val="20"/>
          <w:szCs w:val="20"/>
        </w:rPr>
        <w:t xml:space="preserve">. </w:t>
      </w:r>
      <w:r w:rsidRPr="00EE760D">
        <w:rPr>
          <w:sz w:val="20"/>
          <w:szCs w:val="20"/>
          <w:highlight w:val="yellow"/>
        </w:rPr>
        <w:t>Patient name</w:t>
      </w:r>
      <w:r w:rsidRPr="003E56F5">
        <w:rPr>
          <w:sz w:val="20"/>
          <w:szCs w:val="20"/>
        </w:rPr>
        <w:t xml:space="preserve"> </w:t>
      </w:r>
      <w:r w:rsidRPr="00023ABB">
        <w:rPr>
          <w:sz w:val="20"/>
          <w:szCs w:val="20"/>
        </w:rPr>
        <w:t xml:space="preserve">has expressed a persistent desire for </w:t>
      </w:r>
      <w:r w:rsidR="00713D68" w:rsidRPr="00713D68">
        <w:rPr>
          <w:sz w:val="20"/>
          <w:szCs w:val="20"/>
          <w:highlight w:val="yellow"/>
        </w:rPr>
        <w:t>specific top surgery procedure</w:t>
      </w:r>
      <w:r w:rsidR="00DF0023">
        <w:rPr>
          <w:sz w:val="20"/>
          <w:szCs w:val="20"/>
        </w:rPr>
        <w:t xml:space="preserve">.  </w:t>
      </w:r>
      <w:r w:rsidR="00920B02">
        <w:rPr>
          <w:sz w:val="20"/>
          <w:szCs w:val="20"/>
          <w:highlight w:val="yellow"/>
        </w:rPr>
        <w:t>She/he/they</w:t>
      </w:r>
      <w:r w:rsidR="00DF0023" w:rsidRPr="007C67AE">
        <w:rPr>
          <w:sz w:val="20"/>
          <w:szCs w:val="20"/>
          <w:highlight w:val="yellow"/>
        </w:rPr>
        <w:t xml:space="preserve"> </w:t>
      </w:r>
      <w:r w:rsidR="00DF0023">
        <w:rPr>
          <w:sz w:val="20"/>
          <w:szCs w:val="20"/>
        </w:rPr>
        <w:t xml:space="preserve">has sufficient social support to move through </w:t>
      </w:r>
      <w:r w:rsidR="00BD3533">
        <w:rPr>
          <w:sz w:val="20"/>
          <w:szCs w:val="20"/>
        </w:rPr>
        <w:t>the</w:t>
      </w:r>
      <w:r w:rsidR="00DF0023">
        <w:rPr>
          <w:sz w:val="20"/>
          <w:szCs w:val="20"/>
        </w:rPr>
        <w:t xml:space="preserve"> surgical process</w:t>
      </w:r>
      <w:r w:rsidR="00023ABB" w:rsidRPr="00023ABB">
        <w:rPr>
          <w:sz w:val="20"/>
          <w:szCs w:val="20"/>
        </w:rPr>
        <w:t xml:space="preserve">. I believe </w:t>
      </w:r>
      <w:r w:rsidR="00EE760D">
        <w:rPr>
          <w:sz w:val="20"/>
          <w:szCs w:val="20"/>
          <w:highlight w:val="yellow"/>
        </w:rPr>
        <w:t>p</w:t>
      </w:r>
      <w:r w:rsidR="00023ABB" w:rsidRPr="00EE760D">
        <w:rPr>
          <w:sz w:val="20"/>
          <w:szCs w:val="20"/>
          <w:highlight w:val="yellow"/>
        </w:rPr>
        <w:t>atient name</w:t>
      </w:r>
      <w:r w:rsidR="00023ABB" w:rsidRPr="003E56F5">
        <w:rPr>
          <w:sz w:val="20"/>
          <w:szCs w:val="20"/>
        </w:rPr>
        <w:t xml:space="preserve"> </w:t>
      </w:r>
      <w:r w:rsidR="00023ABB" w:rsidRPr="00023ABB">
        <w:rPr>
          <w:sz w:val="20"/>
          <w:szCs w:val="20"/>
        </w:rPr>
        <w:t xml:space="preserve">would benefit greatly both medically and psychologically from </w:t>
      </w:r>
      <w:r w:rsidR="007C67AE" w:rsidRPr="007C67AE">
        <w:rPr>
          <w:sz w:val="20"/>
          <w:szCs w:val="20"/>
          <w:highlight w:val="yellow"/>
        </w:rPr>
        <w:t>procedure</w:t>
      </w:r>
      <w:r w:rsidR="00023ABB" w:rsidRPr="00023ABB">
        <w:rPr>
          <w:sz w:val="20"/>
          <w:szCs w:val="20"/>
        </w:rPr>
        <w:t>.</w:t>
      </w:r>
      <w:r w:rsidR="00BD3533">
        <w:rPr>
          <w:sz w:val="20"/>
          <w:szCs w:val="20"/>
        </w:rPr>
        <w:t xml:space="preserve">  This procedure has been defined as medically necessary by the World Professional Association for Transgender Health</w:t>
      </w:r>
      <w:r w:rsidR="00A01086">
        <w:rPr>
          <w:sz w:val="20"/>
          <w:szCs w:val="20"/>
        </w:rPr>
        <w:t xml:space="preserve"> (WPATH)</w:t>
      </w:r>
      <w:r w:rsidR="00BD3533">
        <w:rPr>
          <w:sz w:val="20"/>
          <w:szCs w:val="20"/>
        </w:rPr>
        <w:t>.</w:t>
      </w:r>
    </w:p>
    <w:p w14:paraId="74880D21" w14:textId="77777777" w:rsidR="00023ABB" w:rsidRPr="00023ABB" w:rsidRDefault="00023ABB">
      <w:pPr>
        <w:rPr>
          <w:sz w:val="20"/>
          <w:szCs w:val="20"/>
        </w:rPr>
      </w:pPr>
      <w:r w:rsidRPr="00023ABB">
        <w:rPr>
          <w:sz w:val="20"/>
          <w:szCs w:val="20"/>
        </w:rPr>
        <w:t xml:space="preserve">Additionally, </w:t>
      </w:r>
      <w:r w:rsidR="00EE760D">
        <w:rPr>
          <w:sz w:val="20"/>
          <w:szCs w:val="20"/>
          <w:highlight w:val="yellow"/>
        </w:rPr>
        <w:t>p</w:t>
      </w:r>
      <w:r w:rsidRPr="00EE760D">
        <w:rPr>
          <w:sz w:val="20"/>
          <w:szCs w:val="20"/>
          <w:highlight w:val="yellow"/>
        </w:rPr>
        <w:t>atient name</w:t>
      </w:r>
      <w:r w:rsidRPr="003E56F5">
        <w:rPr>
          <w:sz w:val="20"/>
          <w:szCs w:val="20"/>
        </w:rPr>
        <w:t xml:space="preserve"> </w:t>
      </w:r>
      <w:r w:rsidRPr="00023ABB">
        <w:rPr>
          <w:sz w:val="20"/>
          <w:szCs w:val="20"/>
        </w:rPr>
        <w:t>is m</w:t>
      </w:r>
      <w:r w:rsidR="00BD3533">
        <w:rPr>
          <w:sz w:val="20"/>
          <w:szCs w:val="20"/>
        </w:rPr>
        <w:t xml:space="preserve">edically stable for surgery. </w:t>
      </w:r>
      <w:r w:rsidR="007C67AE">
        <w:rPr>
          <w:sz w:val="20"/>
          <w:szCs w:val="20"/>
          <w:highlight w:val="yellow"/>
        </w:rPr>
        <w:t>Her/his</w:t>
      </w:r>
      <w:r w:rsidRPr="00023ABB">
        <w:rPr>
          <w:sz w:val="20"/>
          <w:szCs w:val="20"/>
        </w:rPr>
        <w:t xml:space="preserve"> medical history is unremarkable</w:t>
      </w:r>
      <w:r w:rsidR="00BD3533">
        <w:rPr>
          <w:sz w:val="20"/>
          <w:szCs w:val="20"/>
        </w:rPr>
        <w:t xml:space="preserve"> (</w:t>
      </w:r>
      <w:r w:rsidR="00BD3533" w:rsidRPr="007C67AE">
        <w:rPr>
          <w:sz w:val="20"/>
          <w:szCs w:val="20"/>
          <w:highlight w:val="yellow"/>
        </w:rPr>
        <w:t xml:space="preserve">or </w:t>
      </w:r>
      <w:r w:rsidR="00EE760D">
        <w:rPr>
          <w:sz w:val="20"/>
          <w:szCs w:val="20"/>
          <w:highlight w:val="yellow"/>
        </w:rPr>
        <w:t xml:space="preserve">list </w:t>
      </w:r>
      <w:r w:rsidR="00BD3533" w:rsidRPr="007C67AE">
        <w:rPr>
          <w:sz w:val="20"/>
          <w:szCs w:val="20"/>
          <w:highlight w:val="yellow"/>
        </w:rPr>
        <w:t>any</w:t>
      </w:r>
      <w:r w:rsidR="00EE760D">
        <w:rPr>
          <w:sz w:val="20"/>
          <w:szCs w:val="20"/>
          <w:highlight w:val="yellow"/>
        </w:rPr>
        <w:t xml:space="preserve"> relevant</w:t>
      </w:r>
      <w:r w:rsidR="00BD3533" w:rsidRPr="007C67AE">
        <w:rPr>
          <w:sz w:val="20"/>
          <w:szCs w:val="20"/>
          <w:highlight w:val="yellow"/>
        </w:rPr>
        <w:t xml:space="preserve"> medical conditions </w:t>
      </w:r>
      <w:r w:rsidR="00EE760D">
        <w:rPr>
          <w:sz w:val="20"/>
          <w:szCs w:val="20"/>
          <w:highlight w:val="yellow"/>
        </w:rPr>
        <w:t xml:space="preserve">and verify that they </w:t>
      </w:r>
      <w:r w:rsidR="00BD3533" w:rsidRPr="007C67AE">
        <w:rPr>
          <w:sz w:val="20"/>
          <w:szCs w:val="20"/>
          <w:highlight w:val="yellow"/>
        </w:rPr>
        <w:t>are reasonably well controlled</w:t>
      </w:r>
      <w:r w:rsidR="00BD3533">
        <w:rPr>
          <w:sz w:val="20"/>
          <w:szCs w:val="20"/>
        </w:rPr>
        <w:t>)</w:t>
      </w:r>
      <w:r w:rsidRPr="00023ABB">
        <w:rPr>
          <w:sz w:val="20"/>
          <w:szCs w:val="20"/>
        </w:rPr>
        <w:t xml:space="preserve">, making </w:t>
      </w:r>
      <w:r w:rsidR="00920B02">
        <w:rPr>
          <w:sz w:val="20"/>
          <w:szCs w:val="20"/>
          <w:highlight w:val="yellow"/>
        </w:rPr>
        <w:t>her/his/their</w:t>
      </w:r>
      <w:r w:rsidRPr="00023ABB">
        <w:rPr>
          <w:sz w:val="20"/>
          <w:szCs w:val="20"/>
        </w:rPr>
        <w:t xml:space="preserve"> an excellent candidate for surgery</w:t>
      </w:r>
      <w:r w:rsidRPr="00EF41D3">
        <w:rPr>
          <w:sz w:val="20"/>
          <w:szCs w:val="20"/>
          <w:highlight w:val="yellow"/>
        </w:rPr>
        <w:t xml:space="preserve">. </w:t>
      </w:r>
      <w:r w:rsidR="007C67AE">
        <w:rPr>
          <w:sz w:val="20"/>
          <w:szCs w:val="20"/>
          <w:highlight w:val="yellow"/>
        </w:rPr>
        <w:t>Her/his</w:t>
      </w:r>
      <w:r w:rsidR="00EF41D3" w:rsidRPr="00EF41D3">
        <w:rPr>
          <w:sz w:val="20"/>
          <w:szCs w:val="20"/>
          <w:highlight w:val="yellow"/>
        </w:rPr>
        <w:t xml:space="preserve"> BMI is ____</w:t>
      </w:r>
      <w:r w:rsidR="00DE7E8C">
        <w:rPr>
          <w:sz w:val="20"/>
          <w:szCs w:val="20"/>
        </w:rPr>
        <w:t xml:space="preserve"> (required &lt;35</w:t>
      </w:r>
      <w:r w:rsidR="00EF41D3">
        <w:rPr>
          <w:sz w:val="20"/>
          <w:szCs w:val="20"/>
        </w:rPr>
        <w:t xml:space="preserve"> for surgery). </w:t>
      </w:r>
      <w:r w:rsidR="00920B02">
        <w:rPr>
          <w:sz w:val="20"/>
          <w:szCs w:val="20"/>
          <w:highlight w:val="yellow"/>
        </w:rPr>
        <w:t>She/he/they</w:t>
      </w:r>
      <w:r w:rsidRPr="00023ABB">
        <w:rPr>
          <w:sz w:val="20"/>
          <w:szCs w:val="20"/>
        </w:rPr>
        <w:t xml:space="preserve"> does not smoke cigarettes or drin</w:t>
      </w:r>
      <w:r w:rsidR="00697D52">
        <w:rPr>
          <w:sz w:val="20"/>
          <w:szCs w:val="20"/>
        </w:rPr>
        <w:t xml:space="preserve">k </w:t>
      </w:r>
      <w:r w:rsidR="00BD3533">
        <w:rPr>
          <w:sz w:val="20"/>
          <w:szCs w:val="20"/>
        </w:rPr>
        <w:t xml:space="preserve">excessive </w:t>
      </w:r>
      <w:r w:rsidR="00697D52">
        <w:rPr>
          <w:sz w:val="20"/>
          <w:szCs w:val="20"/>
        </w:rPr>
        <w:t>alcohol, and is not at risk of or an active user of</w:t>
      </w:r>
      <w:r w:rsidRPr="00023ABB">
        <w:rPr>
          <w:sz w:val="20"/>
          <w:szCs w:val="20"/>
        </w:rPr>
        <w:t xml:space="preserve"> illicit drug</w:t>
      </w:r>
      <w:r w:rsidR="00697D52">
        <w:rPr>
          <w:sz w:val="20"/>
          <w:szCs w:val="20"/>
        </w:rPr>
        <w:t>s</w:t>
      </w:r>
      <w:r w:rsidRPr="00023ABB">
        <w:rPr>
          <w:sz w:val="20"/>
          <w:szCs w:val="20"/>
        </w:rPr>
        <w:t xml:space="preserve"> </w:t>
      </w:r>
      <w:r w:rsidR="00697D52">
        <w:rPr>
          <w:sz w:val="20"/>
          <w:szCs w:val="20"/>
        </w:rPr>
        <w:t>or drugs of</w:t>
      </w:r>
      <w:r w:rsidRPr="00023ABB">
        <w:rPr>
          <w:sz w:val="20"/>
          <w:szCs w:val="20"/>
        </w:rPr>
        <w:t xml:space="preserve"> abuse.</w:t>
      </w:r>
      <w:r w:rsidR="00D002D1">
        <w:rPr>
          <w:sz w:val="20"/>
          <w:szCs w:val="20"/>
        </w:rPr>
        <w:t xml:space="preserve"> </w:t>
      </w:r>
    </w:p>
    <w:p w14:paraId="226CA460" w14:textId="1117C129" w:rsidR="00023ABB" w:rsidRPr="00023ABB" w:rsidRDefault="00023ABB">
      <w:pPr>
        <w:rPr>
          <w:sz w:val="20"/>
          <w:szCs w:val="20"/>
        </w:rPr>
      </w:pPr>
      <w:r w:rsidRPr="00EE760D">
        <w:rPr>
          <w:sz w:val="20"/>
          <w:szCs w:val="20"/>
          <w:highlight w:val="yellow"/>
        </w:rPr>
        <w:t>Patient name</w:t>
      </w:r>
      <w:r w:rsidRPr="003E56F5">
        <w:rPr>
          <w:sz w:val="20"/>
          <w:szCs w:val="20"/>
        </w:rPr>
        <w:t xml:space="preserve"> </w:t>
      </w:r>
      <w:r w:rsidRPr="00023ABB">
        <w:rPr>
          <w:sz w:val="20"/>
          <w:szCs w:val="20"/>
        </w:rPr>
        <w:t xml:space="preserve">has met </w:t>
      </w:r>
      <w:r w:rsidR="00BD3533">
        <w:rPr>
          <w:sz w:val="20"/>
          <w:szCs w:val="20"/>
        </w:rPr>
        <w:t>the</w:t>
      </w:r>
      <w:r w:rsidRPr="00023ABB">
        <w:rPr>
          <w:sz w:val="20"/>
          <w:szCs w:val="20"/>
        </w:rPr>
        <w:t xml:space="preserve"> WPATH SOCv7 criteria f</w:t>
      </w:r>
      <w:r w:rsidR="00DF0023">
        <w:rPr>
          <w:sz w:val="20"/>
          <w:szCs w:val="20"/>
        </w:rPr>
        <w:t xml:space="preserve">or surgery. </w:t>
      </w:r>
      <w:r w:rsidRPr="00023ABB">
        <w:rPr>
          <w:sz w:val="20"/>
          <w:szCs w:val="20"/>
        </w:rPr>
        <w:t xml:space="preserve"> I feel </w:t>
      </w:r>
      <w:r w:rsidR="00920B02" w:rsidRPr="00920B02">
        <w:rPr>
          <w:sz w:val="20"/>
          <w:szCs w:val="20"/>
          <w:highlight w:val="yellow"/>
        </w:rPr>
        <w:t>she/he/they</w:t>
      </w:r>
      <w:r w:rsidR="00767ADB">
        <w:rPr>
          <w:sz w:val="20"/>
          <w:szCs w:val="20"/>
        </w:rPr>
        <w:t xml:space="preserve"> has capacity to pr</w:t>
      </w:r>
      <w:r w:rsidR="00BD3533">
        <w:rPr>
          <w:sz w:val="20"/>
          <w:szCs w:val="20"/>
        </w:rPr>
        <w:t>ovide informed consent for</w:t>
      </w:r>
      <w:r w:rsidR="00713D68">
        <w:rPr>
          <w:sz w:val="20"/>
          <w:szCs w:val="20"/>
        </w:rPr>
        <w:t xml:space="preserve"> major surgery</w:t>
      </w:r>
      <w:r w:rsidR="00767ADB">
        <w:rPr>
          <w:sz w:val="20"/>
          <w:szCs w:val="20"/>
        </w:rPr>
        <w:t xml:space="preserve">, and that </w:t>
      </w:r>
      <w:r w:rsidR="00920B02">
        <w:rPr>
          <w:sz w:val="20"/>
          <w:szCs w:val="20"/>
          <w:highlight w:val="yellow"/>
        </w:rPr>
        <w:t>she/he/they</w:t>
      </w:r>
      <w:r w:rsidR="00767ADB" w:rsidRPr="007C67AE">
        <w:rPr>
          <w:sz w:val="20"/>
          <w:szCs w:val="20"/>
          <w:highlight w:val="yellow"/>
        </w:rPr>
        <w:t xml:space="preserve"> </w:t>
      </w:r>
      <w:r w:rsidR="00767ADB">
        <w:rPr>
          <w:sz w:val="20"/>
          <w:szCs w:val="20"/>
        </w:rPr>
        <w:t>is ready, appropriate and medically clear for this procedure</w:t>
      </w:r>
      <w:r w:rsidRPr="00023ABB">
        <w:rPr>
          <w:sz w:val="20"/>
          <w:szCs w:val="20"/>
        </w:rPr>
        <w:t xml:space="preserve">. I </w:t>
      </w:r>
      <w:r w:rsidR="00BD3533">
        <w:rPr>
          <w:sz w:val="20"/>
          <w:szCs w:val="20"/>
        </w:rPr>
        <w:t>he</w:t>
      </w:r>
      <w:r w:rsidRPr="00023ABB">
        <w:rPr>
          <w:sz w:val="20"/>
          <w:szCs w:val="20"/>
        </w:rPr>
        <w:t xml:space="preserve">reby recommend and refer </w:t>
      </w:r>
      <w:r w:rsidR="00EE760D">
        <w:rPr>
          <w:sz w:val="20"/>
          <w:szCs w:val="20"/>
          <w:highlight w:val="yellow"/>
        </w:rPr>
        <w:t>p</w:t>
      </w:r>
      <w:r w:rsidRPr="00EE760D">
        <w:rPr>
          <w:sz w:val="20"/>
          <w:szCs w:val="20"/>
          <w:highlight w:val="yellow"/>
        </w:rPr>
        <w:t>atient name</w:t>
      </w:r>
      <w:r w:rsidRPr="003E56F5">
        <w:rPr>
          <w:sz w:val="20"/>
          <w:szCs w:val="20"/>
        </w:rPr>
        <w:t xml:space="preserve"> </w:t>
      </w:r>
      <w:r w:rsidRPr="00023ABB">
        <w:rPr>
          <w:sz w:val="20"/>
          <w:szCs w:val="20"/>
        </w:rPr>
        <w:t>for this surgery. Please feel free to contact me with any questions or concerns.</w:t>
      </w:r>
    </w:p>
    <w:p w14:paraId="13117F4D" w14:textId="77777777" w:rsidR="00023ABB" w:rsidRPr="00023ABB" w:rsidRDefault="00023ABB">
      <w:pPr>
        <w:rPr>
          <w:sz w:val="20"/>
          <w:szCs w:val="20"/>
        </w:rPr>
      </w:pPr>
      <w:r w:rsidRPr="00023ABB">
        <w:rPr>
          <w:sz w:val="20"/>
          <w:szCs w:val="20"/>
        </w:rPr>
        <w:t>Sincerely,</w:t>
      </w:r>
    </w:p>
    <w:p w14:paraId="5297606C" w14:textId="77777777" w:rsidR="00A863FB" w:rsidRDefault="00A863FB" w:rsidP="00023ABB">
      <w:pPr>
        <w:spacing w:after="0"/>
        <w:rPr>
          <w:sz w:val="20"/>
          <w:szCs w:val="20"/>
        </w:rPr>
        <w:sectPr w:rsidR="00A863FB" w:rsidSect="00A863FB">
          <w:headerReference w:type="default" r:id="rId7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2F603A20" w14:textId="6DC5B180" w:rsidR="000C3C21" w:rsidRDefault="000C3C21" w:rsidP="00023A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Signed: </w:t>
      </w:r>
      <w:r w:rsidR="00023ABB" w:rsidRPr="00023ABB">
        <w:rPr>
          <w:sz w:val="20"/>
          <w:szCs w:val="20"/>
        </w:rPr>
        <w:t>___________________</w:t>
      </w:r>
      <w:r w:rsidR="00A863FB">
        <w:rPr>
          <w:sz w:val="20"/>
          <w:szCs w:val="20"/>
        </w:rPr>
        <w:t>_____</w:t>
      </w:r>
      <w:r w:rsidR="00713D68">
        <w:rPr>
          <w:sz w:val="20"/>
          <w:szCs w:val="20"/>
        </w:rPr>
        <w:t>__________</w:t>
      </w:r>
      <w:r w:rsidR="00023ABB" w:rsidRPr="00023ABB">
        <w:rPr>
          <w:sz w:val="20"/>
          <w:szCs w:val="20"/>
        </w:rPr>
        <w:tab/>
      </w:r>
    </w:p>
    <w:p w14:paraId="19A2A4E2" w14:textId="2774DC6B" w:rsidR="00023ABB" w:rsidRPr="00023ABB" w:rsidRDefault="000C3C21" w:rsidP="00023ABB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</w:t>
      </w:r>
      <w:r w:rsidR="00713D68">
        <w:rPr>
          <w:sz w:val="20"/>
          <w:szCs w:val="20"/>
        </w:rPr>
        <w:t xml:space="preserve">  </w:t>
      </w:r>
      <w:r w:rsidR="00713D68" w:rsidRPr="00023ABB">
        <w:rPr>
          <w:sz w:val="20"/>
          <w:szCs w:val="20"/>
        </w:rPr>
        <w:t>__________________</w:t>
      </w:r>
      <w:r w:rsidR="00713D68">
        <w:rPr>
          <w:sz w:val="20"/>
          <w:szCs w:val="20"/>
        </w:rPr>
        <w:t>________________</w:t>
      </w:r>
      <w:r w:rsidR="00023ABB" w:rsidRPr="00023ABB">
        <w:rPr>
          <w:sz w:val="20"/>
          <w:szCs w:val="20"/>
        </w:rPr>
        <w:tab/>
      </w:r>
    </w:p>
    <w:p w14:paraId="38AFBA66" w14:textId="6C4B1BB8" w:rsidR="00713D68" w:rsidRPr="00713D68" w:rsidRDefault="00A863FB" w:rsidP="00023ABB">
      <w:pPr>
        <w:spacing w:after="0"/>
        <w:rPr>
          <w:sz w:val="18"/>
          <w:szCs w:val="18"/>
        </w:rPr>
      </w:pPr>
      <w:r w:rsidRPr="00713D68">
        <w:rPr>
          <w:sz w:val="18"/>
          <w:szCs w:val="18"/>
        </w:rPr>
        <w:t>License</w:t>
      </w:r>
      <w:r w:rsidR="00023ABB" w:rsidRPr="00713D68">
        <w:rPr>
          <w:sz w:val="18"/>
          <w:szCs w:val="18"/>
        </w:rPr>
        <w:t>:</w:t>
      </w:r>
      <w:r w:rsidR="00023ABB" w:rsidRPr="00713D68">
        <w:rPr>
          <w:sz w:val="18"/>
          <w:szCs w:val="18"/>
        </w:rPr>
        <w:tab/>
      </w:r>
      <w:r w:rsidR="00713D68" w:rsidRPr="00713D68">
        <w:rPr>
          <w:sz w:val="18"/>
          <w:szCs w:val="18"/>
        </w:rPr>
        <w:t>_______________________</w:t>
      </w:r>
      <w:r w:rsidR="00713D68">
        <w:rPr>
          <w:sz w:val="18"/>
          <w:szCs w:val="18"/>
        </w:rPr>
        <w:t>_____________</w:t>
      </w:r>
    </w:p>
    <w:p w14:paraId="0F9C41FA" w14:textId="26BB7B7C" w:rsidR="00023ABB" w:rsidRPr="00713D68" w:rsidRDefault="00713D68" w:rsidP="00023ABB">
      <w:pPr>
        <w:spacing w:after="0"/>
        <w:rPr>
          <w:sz w:val="18"/>
          <w:szCs w:val="18"/>
        </w:rPr>
      </w:pPr>
      <w:r w:rsidRPr="00713D68">
        <w:rPr>
          <w:sz w:val="18"/>
          <w:szCs w:val="18"/>
        </w:rPr>
        <w:t>NPI:</w:t>
      </w:r>
      <w:r w:rsidRPr="00713D68">
        <w:rPr>
          <w:sz w:val="18"/>
          <w:szCs w:val="18"/>
          <w:u w:val="single"/>
        </w:rPr>
        <w:tab/>
      </w:r>
      <w:r w:rsidRPr="00713D68">
        <w:rPr>
          <w:sz w:val="18"/>
          <w:szCs w:val="18"/>
          <w:u w:val="single"/>
        </w:rPr>
        <w:tab/>
      </w:r>
      <w:r w:rsidRPr="00713D68">
        <w:rPr>
          <w:sz w:val="18"/>
          <w:szCs w:val="18"/>
          <w:u w:val="single"/>
        </w:rPr>
        <w:tab/>
      </w:r>
      <w:r w:rsidRPr="00713D68">
        <w:rPr>
          <w:sz w:val="18"/>
          <w:szCs w:val="18"/>
        </w:rPr>
        <w:t>DEA:</w:t>
      </w:r>
      <w:r w:rsidRPr="00713D68">
        <w:rPr>
          <w:sz w:val="18"/>
          <w:szCs w:val="18"/>
          <w:u w:val="single"/>
        </w:rPr>
        <w:tab/>
      </w:r>
      <w:r w:rsidRPr="00713D68">
        <w:rPr>
          <w:sz w:val="18"/>
          <w:szCs w:val="18"/>
          <w:u w:val="single"/>
        </w:rPr>
        <w:tab/>
      </w:r>
      <w:r w:rsidRPr="00713D68">
        <w:rPr>
          <w:sz w:val="18"/>
          <w:szCs w:val="18"/>
        </w:rPr>
        <w:t>____</w:t>
      </w:r>
      <w:r w:rsidR="00023ABB" w:rsidRPr="00713D68">
        <w:rPr>
          <w:sz w:val="18"/>
          <w:szCs w:val="18"/>
        </w:rPr>
        <w:tab/>
      </w:r>
    </w:p>
    <w:p w14:paraId="7D47DF9B" w14:textId="1C6034E5" w:rsidR="00A863FB" w:rsidRPr="00713D68" w:rsidRDefault="000C3C21" w:rsidP="00023ABB">
      <w:pPr>
        <w:spacing w:after="0"/>
        <w:rPr>
          <w:sz w:val="18"/>
          <w:szCs w:val="18"/>
        </w:rPr>
        <w:sectPr w:rsidR="00A863FB" w:rsidRPr="00713D68" w:rsidSect="00A863FB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  <w:r w:rsidRPr="00713D68">
        <w:rPr>
          <w:sz w:val="18"/>
          <w:szCs w:val="18"/>
        </w:rPr>
        <w:t>Clinic name:</w:t>
      </w:r>
      <w:r w:rsidR="00713D68" w:rsidRPr="00713D68">
        <w:rPr>
          <w:sz w:val="18"/>
          <w:szCs w:val="18"/>
        </w:rPr>
        <w:t xml:space="preserve"> ________________________</w:t>
      </w:r>
      <w:r w:rsidR="00713D68">
        <w:rPr>
          <w:sz w:val="18"/>
          <w:szCs w:val="18"/>
        </w:rPr>
        <w:t>_</w:t>
      </w:r>
      <w:r w:rsidRPr="00713D68">
        <w:rPr>
          <w:sz w:val="18"/>
          <w:szCs w:val="18"/>
        </w:rPr>
        <w:br/>
        <w:t>Address:</w:t>
      </w:r>
      <w:r w:rsidR="00713D68" w:rsidRPr="00713D68">
        <w:rPr>
          <w:sz w:val="18"/>
          <w:szCs w:val="18"/>
        </w:rPr>
        <w:t xml:space="preserve"> ___________________________</w:t>
      </w:r>
      <w:r w:rsidR="00713D68">
        <w:rPr>
          <w:sz w:val="18"/>
          <w:szCs w:val="18"/>
        </w:rPr>
        <w:t>_</w:t>
      </w:r>
      <w:r w:rsidRPr="00713D68">
        <w:rPr>
          <w:sz w:val="18"/>
          <w:szCs w:val="18"/>
        </w:rPr>
        <w:br/>
        <w:t>Phone number:</w:t>
      </w:r>
      <w:r w:rsidR="00713D68">
        <w:rPr>
          <w:sz w:val="18"/>
          <w:szCs w:val="18"/>
        </w:rPr>
        <w:t xml:space="preserve"> </w:t>
      </w:r>
      <w:r w:rsidR="00713D68" w:rsidRPr="00713D68">
        <w:rPr>
          <w:sz w:val="18"/>
          <w:szCs w:val="18"/>
        </w:rPr>
        <w:t>_____________________</w:t>
      </w:r>
      <w:r w:rsidR="00713D68">
        <w:rPr>
          <w:sz w:val="18"/>
          <w:szCs w:val="18"/>
        </w:rPr>
        <w:t>_</w:t>
      </w:r>
      <w:r w:rsidRPr="00713D68">
        <w:rPr>
          <w:sz w:val="18"/>
          <w:szCs w:val="18"/>
        </w:rPr>
        <w:br/>
        <w:t>E-Mai</w:t>
      </w:r>
      <w:r w:rsidR="00A863FB" w:rsidRPr="00713D68">
        <w:rPr>
          <w:sz w:val="18"/>
          <w:szCs w:val="18"/>
        </w:rPr>
        <w:t>l:</w:t>
      </w:r>
      <w:r w:rsidR="00713D68">
        <w:rPr>
          <w:sz w:val="18"/>
          <w:szCs w:val="18"/>
        </w:rPr>
        <w:t xml:space="preserve"> </w:t>
      </w:r>
      <w:r w:rsidR="00713D68" w:rsidRPr="00713D68">
        <w:rPr>
          <w:sz w:val="18"/>
          <w:szCs w:val="18"/>
        </w:rPr>
        <w:t>___________________________</w:t>
      </w:r>
      <w:r w:rsidR="00713D68">
        <w:rPr>
          <w:sz w:val="18"/>
          <w:szCs w:val="18"/>
        </w:rPr>
        <w:t>__</w:t>
      </w:r>
    </w:p>
    <w:p w14:paraId="6CD2D0F1" w14:textId="77777777" w:rsidR="00B969E5" w:rsidRDefault="00B969E5" w:rsidP="0033694E">
      <w:pPr>
        <w:autoSpaceDE w:val="0"/>
        <w:autoSpaceDN w:val="0"/>
        <w:adjustRightInd w:val="0"/>
        <w:spacing w:after="0" w:line="240" w:lineRule="auto"/>
        <w:rPr>
          <w:rFonts w:ascii="ScalaSansOT-CondRegular" w:hAnsi="ScalaSansOT-CondRegular" w:cs="ScalaSansOT-CondRegular"/>
          <w:b/>
          <w:bCs/>
          <w:color w:val="595959" w:themeColor="text1" w:themeTint="A6"/>
          <w:sz w:val="28"/>
          <w:szCs w:val="28"/>
        </w:rPr>
      </w:pPr>
    </w:p>
    <w:p w14:paraId="482E41E1" w14:textId="3B5692B6" w:rsidR="0033694E" w:rsidRPr="0033694E" w:rsidRDefault="00F702F4" w:rsidP="0033694E">
      <w:pPr>
        <w:autoSpaceDE w:val="0"/>
        <w:autoSpaceDN w:val="0"/>
        <w:adjustRightInd w:val="0"/>
        <w:spacing w:after="0" w:line="240" w:lineRule="auto"/>
        <w:rPr>
          <w:rFonts w:ascii="ScalaSansOT-CondRegular" w:hAnsi="ScalaSansOT-CondRegular" w:cs="ScalaSansOT-CondRegular"/>
          <w:b/>
          <w:bCs/>
          <w:color w:val="595959" w:themeColor="text1" w:themeTint="A6"/>
          <w:sz w:val="28"/>
          <w:szCs w:val="28"/>
        </w:rPr>
      </w:pPr>
      <w:r>
        <w:rPr>
          <w:rFonts w:ascii="ScalaSansOT-CondRegular" w:hAnsi="ScalaSansOT-CondRegular" w:cs="ScalaSansOT-CondRegular"/>
          <w:b/>
          <w:bCs/>
          <w:color w:val="595959" w:themeColor="text1" w:themeTint="A6"/>
          <w:sz w:val="28"/>
          <w:szCs w:val="28"/>
        </w:rPr>
        <w:t xml:space="preserve">Excerpt from: </w:t>
      </w:r>
      <w:r w:rsidR="0033694E" w:rsidRPr="0033694E">
        <w:rPr>
          <w:rFonts w:ascii="ScalaSansOT-CondRegular" w:hAnsi="ScalaSansOT-CondRegular" w:cs="ScalaSansOT-CondRegular"/>
          <w:b/>
          <w:bCs/>
          <w:color w:val="595959" w:themeColor="text1" w:themeTint="A6"/>
          <w:sz w:val="28"/>
          <w:szCs w:val="28"/>
        </w:rPr>
        <w:t xml:space="preserve">The Standards of Care </w:t>
      </w:r>
      <w:r w:rsidR="0033694E" w:rsidRPr="0033694E">
        <w:rPr>
          <w:rFonts w:ascii="ScalaSansOT-Bold" w:hAnsi="ScalaSansOT-Bold" w:cs="ScalaSansOT-Bold"/>
          <w:b/>
          <w:bCs/>
          <w:color w:val="595959" w:themeColor="text1" w:themeTint="A6"/>
          <w:sz w:val="13"/>
          <w:szCs w:val="13"/>
        </w:rPr>
        <w:t>VERSION 7</w:t>
      </w:r>
    </w:p>
    <w:p w14:paraId="31A2261D" w14:textId="505F6E81" w:rsidR="0033694E" w:rsidRP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CondRegular" w:hAnsi="ScalaSansOT-CondRegular" w:cs="ScalaSansOT-CondRegular"/>
          <w:b/>
          <w:bCs/>
          <w:color w:val="595959" w:themeColor="text1" w:themeTint="A6"/>
        </w:rPr>
      </w:pPr>
      <w:r w:rsidRPr="0033694E">
        <w:rPr>
          <w:rFonts w:ascii="ScalaSansOT-CondRegular" w:hAnsi="ScalaSansOT-CondRegular" w:cs="ScalaSansOT-CondRegular"/>
          <w:b/>
          <w:bCs/>
          <w:color w:val="595959" w:themeColor="text1" w:themeTint="A6"/>
        </w:rPr>
        <w:t>World Professional Association for Transgender Health</w:t>
      </w:r>
    </w:p>
    <w:p w14:paraId="781F2AB2" w14:textId="5EB5D4B7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CondRegular" w:hAnsi="ScalaSansOT-CondRegular" w:cs="ScalaSansOT-CondRegular"/>
          <w:color w:val="B3B3B3"/>
        </w:rPr>
      </w:pPr>
    </w:p>
    <w:p w14:paraId="00AE599C" w14:textId="77777777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CondRegular" w:hAnsi="ScalaSansOT-CondRegular" w:cs="ScalaSansOT-CondRegular"/>
          <w:color w:val="B3B3B3"/>
        </w:rPr>
      </w:pPr>
    </w:p>
    <w:p w14:paraId="349CE40D" w14:textId="7FDA60AA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Bold" w:hAnsi="ScalaSansOT-Bold" w:cs="ScalaSansOT-Bold"/>
          <w:b/>
          <w:bCs/>
          <w:color w:val="000000"/>
        </w:rPr>
      </w:pPr>
      <w:r>
        <w:rPr>
          <w:rFonts w:ascii="ScalaSansOT-Bold" w:hAnsi="ScalaSansOT-Bold" w:cs="ScalaSansOT-Bold"/>
          <w:b/>
          <w:bCs/>
          <w:color w:val="000000"/>
        </w:rPr>
        <w:t>Criteria for Breast/Chest Surgery (One Referral)</w:t>
      </w:r>
    </w:p>
    <w:p w14:paraId="77BB68B8" w14:textId="77777777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Bold" w:hAnsi="ScalaSansOT-Bold" w:cs="ScalaSansOT-Bold"/>
          <w:b/>
          <w:bCs/>
          <w:color w:val="000000"/>
        </w:rPr>
      </w:pPr>
    </w:p>
    <w:p w14:paraId="01E5A570" w14:textId="6791BD61" w:rsidR="0033694E" w:rsidRP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b/>
          <w:bCs/>
          <w:color w:val="000000"/>
        </w:rPr>
      </w:pPr>
      <w:r w:rsidRPr="0033694E">
        <w:rPr>
          <w:rFonts w:ascii="ScalaSansOT-Light" w:hAnsi="ScalaSansOT-Light" w:cs="ScalaSansOT-Light"/>
          <w:b/>
          <w:bCs/>
          <w:color w:val="000000"/>
        </w:rPr>
        <w:t xml:space="preserve">Criteria for mastectomy </w:t>
      </w:r>
      <w:r w:rsidR="00491C3D">
        <w:rPr>
          <w:rFonts w:ascii="ScalaSansOT-Light" w:hAnsi="ScalaSansOT-Light" w:cs="ScalaSansOT-Light"/>
          <w:b/>
          <w:bCs/>
          <w:color w:val="000000"/>
        </w:rPr>
        <w:t>with or without</w:t>
      </w:r>
      <w:r w:rsidRPr="0033694E">
        <w:rPr>
          <w:rFonts w:ascii="ScalaSansOT-Light" w:hAnsi="ScalaSansOT-Light" w:cs="ScalaSansOT-Light"/>
          <w:b/>
          <w:bCs/>
          <w:color w:val="000000"/>
        </w:rPr>
        <w:t xml:space="preserve"> creation of a male chest in FtM patients:</w:t>
      </w:r>
    </w:p>
    <w:p w14:paraId="62085D94" w14:textId="7146271C" w:rsidR="0033694E" w:rsidRPr="0033694E" w:rsidRDefault="0033694E" w:rsidP="00336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Persistent, well-documented gender dysphoria;</w:t>
      </w:r>
    </w:p>
    <w:p w14:paraId="75FAD0D4" w14:textId="1D4B7C8F" w:rsidR="0033694E" w:rsidRPr="0033694E" w:rsidRDefault="0033694E" w:rsidP="00336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Capacity to make a fully informed decision and to consent for treatment;</w:t>
      </w:r>
    </w:p>
    <w:p w14:paraId="322A5299" w14:textId="345561F8" w:rsidR="0033694E" w:rsidRPr="0033694E" w:rsidRDefault="0033694E" w:rsidP="00336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 xml:space="preserve">Age of majority in a given country (if younger, follow the </w:t>
      </w:r>
      <w:r w:rsidRPr="0033694E">
        <w:rPr>
          <w:rFonts w:ascii="ScalaSansOT-LightItalic" w:hAnsi="ScalaSansOT-LightItalic" w:cs="ScalaSansOT-LightItalic"/>
          <w:i/>
          <w:iCs/>
          <w:color w:val="000000"/>
        </w:rPr>
        <w:t xml:space="preserve">SOC </w:t>
      </w:r>
      <w:r w:rsidRPr="0033694E">
        <w:rPr>
          <w:rFonts w:ascii="ScalaSansOT-Light" w:hAnsi="ScalaSansOT-Light" w:cs="ScalaSansOT-Light"/>
          <w:color w:val="000000"/>
        </w:rPr>
        <w:t>for children and adolescents)</w:t>
      </w:r>
    </w:p>
    <w:p w14:paraId="132353AC" w14:textId="0B0D5BC4" w:rsidR="0033694E" w:rsidRPr="0033694E" w:rsidRDefault="0033694E" w:rsidP="00336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If significant medical or mental health concerns are present, they must be reasonably well</w:t>
      </w:r>
      <w:r>
        <w:rPr>
          <w:rFonts w:ascii="ScalaSansOT-Light" w:hAnsi="ScalaSansOT-Light" w:cs="ScalaSansOT-Light"/>
          <w:color w:val="000000"/>
        </w:rPr>
        <w:t xml:space="preserve"> </w:t>
      </w:r>
      <w:r w:rsidRPr="0033694E">
        <w:rPr>
          <w:rFonts w:ascii="ScalaSansOT-Light" w:hAnsi="ScalaSansOT-Light" w:cs="ScalaSansOT-Light"/>
          <w:color w:val="000000"/>
        </w:rPr>
        <w:t>controlled.</w:t>
      </w:r>
    </w:p>
    <w:p w14:paraId="4D4DAE99" w14:textId="1480C187" w:rsidR="0033694E" w:rsidRPr="0033694E" w:rsidRDefault="0033694E" w:rsidP="00336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Hormone therapy is not a prerequisite.</w:t>
      </w:r>
    </w:p>
    <w:p w14:paraId="2A8D0A8C" w14:textId="77777777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</w:p>
    <w:p w14:paraId="382FF781" w14:textId="77777777" w:rsidR="0033694E" w:rsidRP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b/>
          <w:bCs/>
          <w:color w:val="000000"/>
        </w:rPr>
      </w:pPr>
      <w:r w:rsidRPr="0033694E">
        <w:rPr>
          <w:rFonts w:ascii="ScalaSansOT-Light" w:hAnsi="ScalaSansOT-Light" w:cs="ScalaSansOT-Light"/>
          <w:b/>
          <w:bCs/>
          <w:color w:val="000000"/>
        </w:rPr>
        <w:t>Criteria for breast augmentation (implants/lipofilling) in MtF patients:</w:t>
      </w:r>
    </w:p>
    <w:p w14:paraId="2336D420" w14:textId="18FE3B7A" w:rsidR="0033694E" w:rsidRPr="0033694E" w:rsidRDefault="0033694E" w:rsidP="003369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Persistent, well-documented gender dysphoria;</w:t>
      </w:r>
    </w:p>
    <w:p w14:paraId="09749550" w14:textId="6C3C8279" w:rsidR="0033694E" w:rsidRPr="0033694E" w:rsidRDefault="0033694E" w:rsidP="003369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Capacity to make a fully informed decision and to consent for treatment;</w:t>
      </w:r>
    </w:p>
    <w:p w14:paraId="5890CEB1" w14:textId="68663CEA" w:rsidR="0033694E" w:rsidRPr="0033694E" w:rsidRDefault="0033694E" w:rsidP="003369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 xml:space="preserve">Age of majority in a given country (if younger, follow the </w:t>
      </w:r>
      <w:r w:rsidRPr="0033694E">
        <w:rPr>
          <w:rFonts w:ascii="ScalaSansOT-LightItalic" w:hAnsi="ScalaSansOT-LightItalic" w:cs="ScalaSansOT-LightItalic"/>
          <w:i/>
          <w:iCs/>
          <w:color w:val="000000"/>
        </w:rPr>
        <w:t xml:space="preserve">SOC </w:t>
      </w:r>
      <w:r w:rsidRPr="0033694E">
        <w:rPr>
          <w:rFonts w:ascii="ScalaSansOT-Light" w:hAnsi="ScalaSansOT-Light" w:cs="ScalaSansOT-Light"/>
          <w:color w:val="000000"/>
        </w:rPr>
        <w:t>for children and adolescents);</w:t>
      </w:r>
    </w:p>
    <w:p w14:paraId="73BE3C61" w14:textId="18F725D6" w:rsidR="0033694E" w:rsidRPr="0033694E" w:rsidRDefault="0033694E" w:rsidP="0033694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 w:rsidRPr="0033694E">
        <w:rPr>
          <w:rFonts w:ascii="ScalaSansOT-Light" w:hAnsi="ScalaSansOT-Light" w:cs="ScalaSansOT-Light"/>
          <w:color w:val="000000"/>
        </w:rPr>
        <w:t>If significant medical or mental health concerns are present, they must be reasonably well</w:t>
      </w:r>
      <w:r>
        <w:rPr>
          <w:rFonts w:ascii="ScalaSansOT-Light" w:hAnsi="ScalaSansOT-Light" w:cs="ScalaSansOT-Light"/>
          <w:color w:val="000000"/>
        </w:rPr>
        <w:t xml:space="preserve"> </w:t>
      </w:r>
      <w:r w:rsidRPr="0033694E">
        <w:rPr>
          <w:rFonts w:ascii="ScalaSansOT-Light" w:hAnsi="ScalaSansOT-Light" w:cs="ScalaSansOT-Light"/>
          <w:color w:val="000000"/>
        </w:rPr>
        <w:t>controlled.</w:t>
      </w:r>
    </w:p>
    <w:p w14:paraId="641F3B97" w14:textId="7BF16E2A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>
        <w:rPr>
          <w:rFonts w:ascii="ScalaSansOT-Light" w:hAnsi="ScalaSansOT-Light" w:cs="ScalaSansOT-Light"/>
          <w:color w:val="000000"/>
        </w:rPr>
        <w:t>Although not an explicit criterion, it is often recommended that MtF patients undergo feminizing</w:t>
      </w:r>
    </w:p>
    <w:p w14:paraId="1D3DEE7E" w14:textId="3EB47E95" w:rsidR="0033694E" w:rsidRDefault="0033694E" w:rsidP="0033694E">
      <w:pPr>
        <w:autoSpaceDE w:val="0"/>
        <w:autoSpaceDN w:val="0"/>
        <w:adjustRightInd w:val="0"/>
        <w:spacing w:after="0" w:line="240" w:lineRule="auto"/>
        <w:rPr>
          <w:rFonts w:ascii="ScalaSansOT-Light" w:hAnsi="ScalaSansOT-Light" w:cs="ScalaSansOT-Light"/>
          <w:color w:val="000000"/>
        </w:rPr>
      </w:pPr>
      <w:r>
        <w:rPr>
          <w:rFonts w:ascii="ScalaSansOT-Light" w:hAnsi="ScalaSansOT-Light" w:cs="ScalaSansOT-Light"/>
          <w:color w:val="000000"/>
        </w:rPr>
        <w:t>hormone therapy (minimum 12 months) prior to breast augmentation surgery. The purpose is to</w:t>
      </w:r>
    </w:p>
    <w:p w14:paraId="5E8C6160" w14:textId="6DE5CAC0" w:rsidR="00023ABB" w:rsidRDefault="0033694E" w:rsidP="0033694E">
      <w:pPr>
        <w:rPr>
          <w:rFonts w:ascii="ScalaSansOT-Light" w:hAnsi="ScalaSansOT-Light" w:cs="ScalaSansOT-Light"/>
          <w:color w:val="000000"/>
        </w:rPr>
      </w:pPr>
      <w:r>
        <w:rPr>
          <w:rFonts w:ascii="ScalaSansOT-Light" w:hAnsi="ScalaSansOT-Light" w:cs="ScalaSansOT-Light"/>
          <w:color w:val="000000"/>
        </w:rPr>
        <w:t xml:space="preserve">maximize breast growth in order to obtain better surgical (aesthetic) results. </w:t>
      </w:r>
    </w:p>
    <w:p w14:paraId="23A00962" w14:textId="6617084B" w:rsidR="0033694E" w:rsidRPr="0033694E" w:rsidRDefault="0033694E" w:rsidP="0033694E">
      <w:pPr>
        <w:rPr>
          <w:i/>
          <w:iCs/>
        </w:rPr>
      </w:pPr>
      <w:r w:rsidRPr="0033694E">
        <w:rPr>
          <w:rFonts w:ascii="ScalaSansOT-Light" w:hAnsi="ScalaSansOT-Light" w:cs="ScalaSansOT-Light"/>
          <w:i/>
          <w:iCs/>
          <w:color w:val="000000"/>
        </w:rPr>
        <w:t>(The CNE</w:t>
      </w:r>
      <w:r>
        <w:rPr>
          <w:rFonts w:ascii="ScalaSansOT-Light" w:hAnsi="ScalaSansOT-Light" w:cs="ScalaSansOT-Light"/>
          <w:i/>
          <w:iCs/>
          <w:color w:val="000000"/>
        </w:rPr>
        <w:t xml:space="preserve"> Breast Health Center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surgeons do not require prerequisite hormone therapy, however if </w:t>
      </w:r>
      <w:r w:rsidR="002400AA">
        <w:rPr>
          <w:rFonts w:ascii="ScalaSansOT-Light" w:hAnsi="ScalaSansOT-Light" w:cs="ScalaSansOT-Light"/>
          <w:i/>
          <w:iCs/>
          <w:color w:val="000000"/>
        </w:rPr>
        <w:t>you prefer to use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medical insurance coverage </w:t>
      </w:r>
      <w:r w:rsidR="002400AA">
        <w:rPr>
          <w:rFonts w:ascii="ScalaSansOT-Light" w:hAnsi="ScalaSansOT-Light" w:cs="ScalaSansOT-Light"/>
          <w:i/>
          <w:iCs/>
          <w:color w:val="000000"/>
        </w:rPr>
        <w:t>for your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procedure, please review your own specific policy as </w:t>
      </w:r>
      <w:r w:rsidR="00A21252">
        <w:rPr>
          <w:rFonts w:ascii="ScalaSansOT-Light" w:hAnsi="ScalaSansOT-Light" w:cs="ScalaSansOT-Light"/>
          <w:i/>
          <w:iCs/>
          <w:color w:val="000000"/>
        </w:rPr>
        <w:t>many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insurance companies</w:t>
      </w:r>
      <w:r w:rsidR="00AF43D0">
        <w:rPr>
          <w:rFonts w:ascii="ScalaSansOT-Light" w:hAnsi="ScalaSansOT-Light" w:cs="ScalaSansOT-Light"/>
          <w:i/>
          <w:iCs/>
          <w:color w:val="000000"/>
        </w:rPr>
        <w:t>- including BCBS of RI and RI Neighborhood Health Plan-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</w:t>
      </w:r>
      <w:r w:rsidRPr="002400AA">
        <w:rPr>
          <w:rFonts w:ascii="ScalaSansOT-Light" w:hAnsi="ScalaSansOT-Light" w:cs="ScalaSansOT-Light"/>
          <w:i/>
          <w:iCs/>
          <w:color w:val="000000"/>
          <w:u w:val="single"/>
        </w:rPr>
        <w:t>do</w:t>
      </w:r>
      <w:r w:rsidRPr="0033694E">
        <w:rPr>
          <w:rFonts w:ascii="ScalaSansOT-Light" w:hAnsi="ScalaSansOT-Light" w:cs="ScalaSansOT-Light"/>
          <w:i/>
          <w:iCs/>
          <w:color w:val="000000"/>
        </w:rPr>
        <w:t xml:space="preserve"> require prior hormone therapy.)</w:t>
      </w:r>
    </w:p>
    <w:sectPr w:rsidR="0033694E" w:rsidRPr="0033694E" w:rsidSect="00A863FB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30C1" w14:textId="77777777" w:rsidR="00C27CE0" w:rsidRDefault="00C27CE0" w:rsidP="00023ABB">
      <w:pPr>
        <w:spacing w:after="0" w:line="240" w:lineRule="auto"/>
      </w:pPr>
      <w:r>
        <w:separator/>
      </w:r>
    </w:p>
  </w:endnote>
  <w:endnote w:type="continuationSeparator" w:id="0">
    <w:p w14:paraId="1D871347" w14:textId="77777777" w:rsidR="00C27CE0" w:rsidRDefault="00C27CE0" w:rsidP="0002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OT-Cond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calaSansOT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calaSansOT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calaSansOT-Light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B177" w14:textId="77777777" w:rsidR="00C27CE0" w:rsidRDefault="00C27CE0" w:rsidP="00023ABB">
      <w:pPr>
        <w:spacing w:after="0" w:line="240" w:lineRule="auto"/>
      </w:pPr>
      <w:r>
        <w:separator/>
      </w:r>
    </w:p>
  </w:footnote>
  <w:footnote w:type="continuationSeparator" w:id="0">
    <w:p w14:paraId="1366F249" w14:textId="77777777" w:rsidR="00C27CE0" w:rsidRDefault="00C27CE0" w:rsidP="0002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B928" w14:textId="2F97BD36" w:rsidR="00B969E5" w:rsidRDefault="00B969E5">
    <w:pPr>
      <w:pStyle w:val="Header"/>
    </w:pPr>
  </w:p>
  <w:p w14:paraId="77ACA06D" w14:textId="283A2A41" w:rsidR="006B4C25" w:rsidRDefault="006B4C25" w:rsidP="00023ABB">
    <w:pPr>
      <w:pStyle w:val="Header"/>
      <w:tabs>
        <w:tab w:val="left" w:pos="3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0ACD"/>
    <w:multiLevelType w:val="hybridMultilevel"/>
    <w:tmpl w:val="2CC60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7211"/>
    <w:multiLevelType w:val="hybridMultilevel"/>
    <w:tmpl w:val="8538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43"/>
    <w:rsid w:val="0001024A"/>
    <w:rsid w:val="00017C43"/>
    <w:rsid w:val="00023ABB"/>
    <w:rsid w:val="00056548"/>
    <w:rsid w:val="00095CA3"/>
    <w:rsid w:val="000C3C21"/>
    <w:rsid w:val="00176352"/>
    <w:rsid w:val="001F5C85"/>
    <w:rsid w:val="002079A1"/>
    <w:rsid w:val="002400AA"/>
    <w:rsid w:val="002450DD"/>
    <w:rsid w:val="002D3307"/>
    <w:rsid w:val="002D503A"/>
    <w:rsid w:val="0033694E"/>
    <w:rsid w:val="003B25B2"/>
    <w:rsid w:val="003E07C4"/>
    <w:rsid w:val="003E56F5"/>
    <w:rsid w:val="003F021F"/>
    <w:rsid w:val="00491C3D"/>
    <w:rsid w:val="004B142A"/>
    <w:rsid w:val="0052786C"/>
    <w:rsid w:val="00576D57"/>
    <w:rsid w:val="005C5A17"/>
    <w:rsid w:val="005E1747"/>
    <w:rsid w:val="00622520"/>
    <w:rsid w:val="0069520A"/>
    <w:rsid w:val="00697D52"/>
    <w:rsid w:val="006B4C25"/>
    <w:rsid w:val="00713D68"/>
    <w:rsid w:val="00723D20"/>
    <w:rsid w:val="00736C02"/>
    <w:rsid w:val="00767ADB"/>
    <w:rsid w:val="007820F9"/>
    <w:rsid w:val="007C67AE"/>
    <w:rsid w:val="00812CF2"/>
    <w:rsid w:val="00853CDC"/>
    <w:rsid w:val="008609FF"/>
    <w:rsid w:val="00876E18"/>
    <w:rsid w:val="00920B02"/>
    <w:rsid w:val="0092382B"/>
    <w:rsid w:val="0099388B"/>
    <w:rsid w:val="009C33BD"/>
    <w:rsid w:val="009F08BA"/>
    <w:rsid w:val="00A01086"/>
    <w:rsid w:val="00A21252"/>
    <w:rsid w:val="00A357D9"/>
    <w:rsid w:val="00A863FB"/>
    <w:rsid w:val="00AA1574"/>
    <w:rsid w:val="00AF43D0"/>
    <w:rsid w:val="00B11663"/>
    <w:rsid w:val="00B81B1E"/>
    <w:rsid w:val="00B969E5"/>
    <w:rsid w:val="00BB2AB8"/>
    <w:rsid w:val="00BD3533"/>
    <w:rsid w:val="00BD3DCA"/>
    <w:rsid w:val="00C27CE0"/>
    <w:rsid w:val="00C857BF"/>
    <w:rsid w:val="00CA2204"/>
    <w:rsid w:val="00CC2902"/>
    <w:rsid w:val="00CE090B"/>
    <w:rsid w:val="00CF69CC"/>
    <w:rsid w:val="00D002D1"/>
    <w:rsid w:val="00D843B9"/>
    <w:rsid w:val="00DC0B4C"/>
    <w:rsid w:val="00DC34A3"/>
    <w:rsid w:val="00DE7E8C"/>
    <w:rsid w:val="00DF0023"/>
    <w:rsid w:val="00EE760D"/>
    <w:rsid w:val="00EF41D3"/>
    <w:rsid w:val="00F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EA137E"/>
  <w15:docId w15:val="{E1AC419D-2C92-4108-AE5C-6F4C1DE0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BB"/>
  </w:style>
  <w:style w:type="paragraph" w:styleId="Footer">
    <w:name w:val="footer"/>
    <w:basedOn w:val="Normal"/>
    <w:link w:val="FooterChar"/>
    <w:uiPriority w:val="99"/>
    <w:unhideWhenUsed/>
    <w:rsid w:val="00023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BB"/>
  </w:style>
  <w:style w:type="paragraph" w:styleId="BalloonText">
    <w:name w:val="Balloon Text"/>
    <w:basedOn w:val="Normal"/>
    <w:link w:val="BalloonTextChar"/>
    <w:uiPriority w:val="99"/>
    <w:semiHidden/>
    <w:unhideWhenUsed/>
    <w:rsid w:val="0002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Medical Center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Ketura</dc:creator>
  <cp:lastModifiedBy>Microsoft Office User</cp:lastModifiedBy>
  <cp:revision>2</cp:revision>
  <dcterms:created xsi:type="dcterms:W3CDTF">2022-03-14T21:05:00Z</dcterms:created>
  <dcterms:modified xsi:type="dcterms:W3CDTF">2022-03-14T21:05:00Z</dcterms:modified>
</cp:coreProperties>
</file>